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77" w:rsidRPr="00505126" w:rsidRDefault="002A7977" w:rsidP="002A7977">
      <w:pPr>
        <w:ind w:left="3540" w:firstLine="708"/>
        <w:jc w:val="both"/>
        <w:rPr>
          <w:color w:val="000000"/>
          <w:sz w:val="28"/>
          <w:szCs w:val="28"/>
        </w:rPr>
      </w:pPr>
      <w:r w:rsidRPr="00DA7FAC">
        <w:t>Приложение №1</w:t>
      </w:r>
    </w:p>
    <w:p w:rsidR="002A7977" w:rsidRDefault="002A7977" w:rsidP="002A7977">
      <w:pPr>
        <w:ind w:left="3540" w:firstLine="708"/>
        <w:jc w:val="both"/>
      </w:pPr>
      <w:r>
        <w:t xml:space="preserve"> к</w:t>
      </w:r>
      <w:r w:rsidRPr="00DA7FAC">
        <w:t xml:space="preserve"> постановлению главы администрации</w:t>
      </w:r>
    </w:p>
    <w:p w:rsidR="002A7977" w:rsidRPr="00DA7FAC" w:rsidRDefault="002A7977" w:rsidP="002A7977">
      <w:pPr>
        <w:ind w:left="3540" w:firstLine="708"/>
        <w:jc w:val="both"/>
      </w:pPr>
      <w:r w:rsidRPr="00DA7FAC">
        <w:t xml:space="preserve"> МР Шаранский район РБ</w:t>
      </w:r>
    </w:p>
    <w:p w:rsidR="002A7977" w:rsidRPr="005F069B" w:rsidRDefault="005F069B" w:rsidP="002A7977">
      <w:pPr>
        <w:ind w:left="3540" w:firstLine="708"/>
        <w:jc w:val="both"/>
      </w:pPr>
      <w:r>
        <w:t>№ П-524/5 от 01.06.2015г.</w:t>
      </w:r>
    </w:p>
    <w:p w:rsidR="002A7977" w:rsidRDefault="002A7977" w:rsidP="002A7977">
      <w:pPr>
        <w:ind w:left="3540" w:firstLine="708"/>
        <w:jc w:val="both"/>
      </w:pPr>
    </w:p>
    <w:p w:rsidR="002A7977" w:rsidRPr="00333D29" w:rsidRDefault="002A7977" w:rsidP="002A7977">
      <w:pPr>
        <w:spacing w:line="360" w:lineRule="auto"/>
        <w:jc w:val="center"/>
        <w:rPr>
          <w:sz w:val="28"/>
          <w:szCs w:val="28"/>
        </w:rPr>
      </w:pPr>
      <w:r w:rsidRPr="00F1161D">
        <w:rPr>
          <w:sz w:val="28"/>
          <w:szCs w:val="28"/>
        </w:rPr>
        <w:t>Состав</w:t>
      </w:r>
      <w:r>
        <w:t xml:space="preserve"> </w:t>
      </w:r>
      <w:r w:rsidRPr="00DF2751">
        <w:rPr>
          <w:color w:val="000000"/>
          <w:sz w:val="28"/>
          <w:szCs w:val="28"/>
          <w:shd w:val="clear" w:color="auto" w:fill="FFFFFF"/>
        </w:rPr>
        <w:t>оргкомитет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F2751">
        <w:rPr>
          <w:color w:val="000000"/>
          <w:sz w:val="28"/>
          <w:szCs w:val="28"/>
          <w:shd w:val="clear" w:color="auto" w:fill="FFFFFF"/>
        </w:rPr>
        <w:t xml:space="preserve"> по подготовке и проведению Дня работника культуры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Pr="00333D29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33D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Шаранский район РБ</w:t>
      </w:r>
    </w:p>
    <w:p w:rsidR="002A7977" w:rsidRDefault="002A7977" w:rsidP="002A7977">
      <w:pPr>
        <w:jc w:val="both"/>
      </w:pP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Газизова И.Л. – заместитель главы администрации муниципального района по работе с кадрами и социальным вопросам, Председатель оргкомитета;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Габдуллин А.И. – начальник МКУ «Отдел культуры и молодежной политики» администрации муниципального района, заместитель председателя.</w:t>
      </w:r>
    </w:p>
    <w:p w:rsidR="002A7977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Члены оргкомитета: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Якупов Р.А. – секретарь Совета муниципального района;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Саляхов</w:t>
      </w:r>
      <w:proofErr w:type="spellEnd"/>
      <w:r w:rsidRPr="00F1161D">
        <w:rPr>
          <w:sz w:val="28"/>
          <w:szCs w:val="28"/>
        </w:rPr>
        <w:t xml:space="preserve"> З.З. – директор МБУ «Центральный районный дом культуры» </w:t>
      </w:r>
      <w:proofErr w:type="gramStart"/>
      <w:r w:rsidRPr="00F1161D">
        <w:rPr>
          <w:sz w:val="28"/>
          <w:szCs w:val="28"/>
        </w:rPr>
        <w:t>муниципального</w:t>
      </w:r>
      <w:proofErr w:type="gramEnd"/>
      <w:r w:rsidRPr="00F1161D">
        <w:rPr>
          <w:sz w:val="28"/>
          <w:szCs w:val="28"/>
        </w:rPr>
        <w:t xml:space="preserve"> района;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Царькова</w:t>
      </w:r>
      <w:proofErr w:type="spellEnd"/>
      <w:r w:rsidRPr="00F1161D">
        <w:rPr>
          <w:sz w:val="28"/>
          <w:szCs w:val="28"/>
        </w:rPr>
        <w:t xml:space="preserve"> З.А. – художественный руководитель МБУ «ЦРДК» муниципального района;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Давлетова Р.Х. – заведующий методическим кабинетом МБУ «ЦРДК» муниципального района;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Иванова С.В. – методист МБУ «ЦРДК» муниципального района;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Шарафутдинова</w:t>
      </w:r>
      <w:proofErr w:type="spellEnd"/>
      <w:r w:rsidRPr="00F1161D">
        <w:rPr>
          <w:sz w:val="28"/>
          <w:szCs w:val="28"/>
        </w:rPr>
        <w:t xml:space="preserve"> Г.Т. – директор МАОУ ДОД «Детская школа искусств»;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r w:rsidRPr="00F1161D">
        <w:rPr>
          <w:sz w:val="28"/>
          <w:szCs w:val="28"/>
        </w:rPr>
        <w:t>Мишина Н.Ю. – директор МБУ «</w:t>
      </w:r>
      <w:proofErr w:type="spellStart"/>
      <w:r w:rsidRPr="00F1161D">
        <w:rPr>
          <w:sz w:val="28"/>
          <w:szCs w:val="28"/>
        </w:rPr>
        <w:t>Межпоселенческая</w:t>
      </w:r>
      <w:proofErr w:type="spellEnd"/>
      <w:r w:rsidRPr="00F1161D">
        <w:rPr>
          <w:sz w:val="28"/>
          <w:szCs w:val="28"/>
        </w:rPr>
        <w:t xml:space="preserve"> центральная библиотека»;</w:t>
      </w:r>
    </w:p>
    <w:p w:rsidR="002A7977" w:rsidRPr="00F1161D" w:rsidRDefault="002A7977" w:rsidP="002A7977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F1161D">
        <w:rPr>
          <w:sz w:val="28"/>
          <w:szCs w:val="28"/>
        </w:rPr>
        <w:t>Негуренко</w:t>
      </w:r>
      <w:proofErr w:type="spellEnd"/>
      <w:r w:rsidRPr="00F1161D">
        <w:rPr>
          <w:sz w:val="28"/>
          <w:szCs w:val="28"/>
        </w:rPr>
        <w:t xml:space="preserve"> З.Г. – директор МБУ «Шаранский историко-краеведческий музей»;</w:t>
      </w:r>
    </w:p>
    <w:p w:rsidR="002A7977" w:rsidRPr="00F1161D" w:rsidRDefault="002A7977" w:rsidP="002A7977">
      <w:pPr>
        <w:pStyle w:val="a4"/>
        <w:jc w:val="both"/>
        <w:rPr>
          <w:sz w:val="28"/>
          <w:szCs w:val="28"/>
        </w:rPr>
      </w:pPr>
    </w:p>
    <w:p w:rsidR="002A7977" w:rsidRPr="00F1161D" w:rsidRDefault="002A7977" w:rsidP="002A7977">
      <w:pPr>
        <w:pStyle w:val="a4"/>
        <w:jc w:val="both"/>
        <w:rPr>
          <w:sz w:val="28"/>
          <w:szCs w:val="28"/>
        </w:rPr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jc w:val="both"/>
      </w:pPr>
    </w:p>
    <w:p w:rsidR="005F069B" w:rsidRDefault="005F069B" w:rsidP="002A7977">
      <w:pPr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Pr="00505126" w:rsidRDefault="002A7977" w:rsidP="002A7977">
      <w:pPr>
        <w:ind w:left="3540" w:firstLine="708"/>
        <w:jc w:val="both"/>
        <w:rPr>
          <w:color w:val="000000"/>
          <w:sz w:val="28"/>
          <w:szCs w:val="28"/>
        </w:rPr>
      </w:pPr>
      <w:r w:rsidRPr="00DA7FAC">
        <w:lastRenderedPageBreak/>
        <w:t>Приложение №</w:t>
      </w:r>
      <w:r>
        <w:t>2</w:t>
      </w:r>
    </w:p>
    <w:p w:rsidR="002A7977" w:rsidRDefault="002A7977" w:rsidP="002A7977">
      <w:pPr>
        <w:ind w:left="3540" w:firstLine="708"/>
        <w:jc w:val="both"/>
      </w:pPr>
      <w:r>
        <w:t xml:space="preserve"> к</w:t>
      </w:r>
      <w:r w:rsidRPr="00DA7FAC">
        <w:t xml:space="preserve"> постановлению главы администрации</w:t>
      </w:r>
    </w:p>
    <w:p w:rsidR="002A7977" w:rsidRPr="00DA7FAC" w:rsidRDefault="002A7977" w:rsidP="002A7977">
      <w:pPr>
        <w:ind w:left="3540" w:firstLine="708"/>
        <w:jc w:val="both"/>
      </w:pPr>
      <w:r w:rsidRPr="00DA7FAC">
        <w:t xml:space="preserve"> МР Шаранский район РБ</w:t>
      </w:r>
    </w:p>
    <w:p w:rsidR="005F069B" w:rsidRPr="005F069B" w:rsidRDefault="005F069B" w:rsidP="005F069B">
      <w:pPr>
        <w:ind w:left="3540" w:firstLine="708"/>
        <w:jc w:val="both"/>
      </w:pPr>
      <w:r>
        <w:t>№ П-524/5 от 01.06.2015г.</w:t>
      </w: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spacing w:line="240" w:lineRule="exact"/>
        <w:rPr>
          <w:sz w:val="28"/>
          <w:szCs w:val="28"/>
        </w:rPr>
      </w:pPr>
    </w:p>
    <w:p w:rsidR="002A7977" w:rsidRDefault="002A7977" w:rsidP="002A7977">
      <w:pPr>
        <w:spacing w:line="240" w:lineRule="exact"/>
        <w:rPr>
          <w:sz w:val="28"/>
          <w:szCs w:val="28"/>
        </w:rPr>
      </w:pPr>
    </w:p>
    <w:p w:rsidR="002A7977" w:rsidRDefault="002A7977" w:rsidP="002A7977">
      <w:pPr>
        <w:spacing w:line="240" w:lineRule="exact"/>
        <w:rPr>
          <w:sz w:val="28"/>
          <w:szCs w:val="28"/>
        </w:rPr>
      </w:pPr>
    </w:p>
    <w:p w:rsidR="002A7977" w:rsidRPr="00333D29" w:rsidRDefault="002A7977" w:rsidP="002A7977">
      <w:pPr>
        <w:spacing w:line="240" w:lineRule="exact"/>
        <w:jc w:val="center"/>
        <w:rPr>
          <w:sz w:val="28"/>
          <w:szCs w:val="28"/>
        </w:rPr>
      </w:pPr>
      <w:r w:rsidRPr="00333D29">
        <w:rPr>
          <w:sz w:val="28"/>
          <w:szCs w:val="28"/>
        </w:rPr>
        <w:t>ПОЛОЖЕНИЕ</w:t>
      </w:r>
    </w:p>
    <w:p w:rsidR="002A7977" w:rsidRPr="00333D29" w:rsidRDefault="002A7977" w:rsidP="002A7977">
      <w:pPr>
        <w:spacing w:line="240" w:lineRule="exact"/>
        <w:jc w:val="center"/>
        <w:rPr>
          <w:sz w:val="28"/>
          <w:szCs w:val="28"/>
        </w:rPr>
      </w:pPr>
      <w:r w:rsidRPr="00333D29">
        <w:rPr>
          <w:sz w:val="28"/>
          <w:szCs w:val="28"/>
        </w:rPr>
        <w:t xml:space="preserve">о поощрении лучших работников отрасли культуры </w:t>
      </w:r>
      <w:proofErr w:type="gramStart"/>
      <w:r w:rsidRPr="00333D29">
        <w:rPr>
          <w:sz w:val="28"/>
          <w:szCs w:val="28"/>
        </w:rPr>
        <w:t>муниципального</w:t>
      </w:r>
      <w:proofErr w:type="gramEnd"/>
      <w:r w:rsidRPr="00333D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Шаранский район РБ</w:t>
      </w:r>
    </w:p>
    <w:p w:rsidR="002A7977" w:rsidRDefault="002A7977" w:rsidP="002A7977">
      <w:pPr>
        <w:jc w:val="center"/>
        <w:rPr>
          <w:b/>
          <w:sz w:val="28"/>
          <w:szCs w:val="28"/>
        </w:rPr>
      </w:pPr>
    </w:p>
    <w:p w:rsidR="002A7977" w:rsidRDefault="002A7977" w:rsidP="002A79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Поощрение лучших работников отрасли культуры муниципального района Шаранский район РБ (далее - Поощрение) проводится в целях сохранения и приумножения культурного наследия, искусства, поощрения творческих достижений, стимулирования  работников отрасли культуры</w:t>
      </w:r>
      <w:r w:rsidRPr="00CE6ED0">
        <w:rPr>
          <w:sz w:val="28"/>
          <w:szCs w:val="28"/>
        </w:rPr>
        <w:t>, повышения их профессионального статуса и престижа</w:t>
      </w:r>
      <w:r>
        <w:rPr>
          <w:sz w:val="28"/>
          <w:szCs w:val="28"/>
        </w:rPr>
        <w:t xml:space="preserve"> и в связи с празднованием профессионального праздника Дня работника культуры. 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Поощрение лучших работников отрасли культуры  проводится по следующим номинациям: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«Успех года»;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«Новаторство»;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-«Преданность культуре»;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«От призвания к призванию»;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«Утонченная душа»;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«Активная жизненная позиция»;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«Точность и расчет»;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«Хранитель традиций»;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«Творческий подход»;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«Яркая индивидуальность»;</w:t>
      </w:r>
    </w:p>
    <w:p w:rsidR="002A7977" w:rsidRPr="00DD1145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 w:rsidRPr="00DD1145">
        <w:rPr>
          <w:sz w:val="28"/>
          <w:szCs w:val="28"/>
        </w:rPr>
        <w:t>- «Энергия года».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Поощрение лучших работников отрасли культуры проводится по итогам работы за год, за достижения в развитии библиотечного дела, культурно </w:t>
      </w:r>
      <w:r w:rsidRPr="00357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574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дополнительного  образования детей в сфере культуры.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Финансирование расходов на поощрение лучших работников отрасли культуры осуществляется за счет </w:t>
      </w:r>
      <w:r w:rsidRPr="00CE6ED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программы «Развитие культуры и искусства в муниципальном районе Шаранский район Республики Башкортостан на 2015-2020гг</w:t>
      </w:r>
      <w:r w:rsidRPr="00CE6ED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E6ED0">
        <w:rPr>
          <w:sz w:val="28"/>
          <w:szCs w:val="28"/>
        </w:rPr>
        <w:t xml:space="preserve">утвержденной постановлением администрации муниципального района </w:t>
      </w:r>
      <w:r>
        <w:rPr>
          <w:sz w:val="28"/>
          <w:szCs w:val="28"/>
        </w:rPr>
        <w:t xml:space="preserve"> Шаранский район РБ от 12.11.2014г. № 1343/4.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Поощрение представляет собой диплом, букет цветов и памятный подарок.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Лица, представляемые к поощрению.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поощрению представляются работники учреждений культуры муниципального района Шаранский район РБ, осуществляющие свою </w:t>
      </w:r>
      <w:r>
        <w:rPr>
          <w:sz w:val="28"/>
          <w:szCs w:val="28"/>
        </w:rPr>
        <w:lastRenderedPageBreak/>
        <w:t xml:space="preserve">деятельность в сфере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деятельности, библиотечного дела, дополнительного образования детей.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порядок выдвижения претендентов на поощрение.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Организацию поощрения осуществляет  комиссия по отбору кандидатур на поощрение лучших работников отрасли культуры муниципального района (далее – Комиссия).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осуществляет следующие функции: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изучает представленные документы, материалы и  приложения к ним;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определении кандидатов на Поощрение, если на заседании присутствует не менее половины её членов. Решение Комиссии принимается большинством голосов от числа присутствующих членов посредством голосования и оформляется протоколом. При равенстве голосов, набранных претендентами, решающим является голос председателя.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Для выдвижения претендентов на Поощрение муниципальные учреждения культуры, муниципальные учреждения дополнительного образования детей представляют в Комиссию следующие материалы: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подробную творческую характеристику на кандидата;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материалов, подтверждающих успехи и достижения кандидата.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приложений должны быть представлены материалы о деятельности кандидата, в том числе: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видеодокументы</w:t>
      </w:r>
      <w:proofErr w:type="spellEnd"/>
      <w:r>
        <w:rPr>
          <w:sz w:val="28"/>
          <w:szCs w:val="28"/>
        </w:rPr>
        <w:t>, фотографии, эскизы, и.т.д.;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отзыв главы поселения, рекомендательные письма, рецензии, отзывы общественных организаций;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статьи, книги, краеведческие исследования.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Срок подачи документов.</w:t>
      </w:r>
    </w:p>
    <w:p w:rsidR="002A7977" w:rsidRDefault="002A7977" w:rsidP="002A7977">
      <w:pPr>
        <w:pStyle w:val="a3"/>
        <w:ind w:left="0" w:firstLine="720"/>
        <w:jc w:val="both"/>
        <w:rPr>
          <w:color w:val="2C2C2C"/>
          <w:sz w:val="28"/>
          <w:szCs w:val="28"/>
        </w:rPr>
      </w:pPr>
      <w:r>
        <w:rPr>
          <w:sz w:val="28"/>
          <w:szCs w:val="28"/>
        </w:rPr>
        <w:t xml:space="preserve">4.1. Документы на Поощрение принимаются до 10 июня 2015 года по адресу: </w:t>
      </w:r>
      <w:r>
        <w:rPr>
          <w:color w:val="2C2C2C"/>
          <w:sz w:val="28"/>
          <w:szCs w:val="28"/>
        </w:rPr>
        <w:t>с</w:t>
      </w:r>
      <w:proofErr w:type="gramStart"/>
      <w:r>
        <w:rPr>
          <w:color w:val="2C2C2C"/>
          <w:sz w:val="28"/>
          <w:szCs w:val="28"/>
        </w:rPr>
        <w:t>.Ш</w:t>
      </w:r>
      <w:proofErr w:type="gramEnd"/>
      <w:r>
        <w:rPr>
          <w:color w:val="2C2C2C"/>
          <w:sz w:val="28"/>
          <w:szCs w:val="28"/>
        </w:rPr>
        <w:t>аран, ул.Пролетарская, д.2 Районный дом культуры.</w:t>
      </w:r>
    </w:p>
    <w:p w:rsidR="002A7977" w:rsidRDefault="002A7977" w:rsidP="002A7977">
      <w:pPr>
        <w:pStyle w:val="a3"/>
        <w:ind w:left="0" w:firstLine="7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4.2. </w:t>
      </w:r>
      <w:proofErr w:type="gramStart"/>
      <w:r>
        <w:rPr>
          <w:color w:val="2C2C2C"/>
          <w:sz w:val="28"/>
          <w:szCs w:val="28"/>
        </w:rPr>
        <w:t>Материалы</w:t>
      </w:r>
      <w:proofErr w:type="gramEnd"/>
      <w:r>
        <w:rPr>
          <w:color w:val="2C2C2C"/>
          <w:sz w:val="28"/>
          <w:szCs w:val="28"/>
        </w:rPr>
        <w:t xml:space="preserve"> представленные по истечении срока приема документов, к рассмотрению не принимаются. Документы не возвращаются.</w:t>
      </w:r>
    </w:p>
    <w:p w:rsidR="002A7977" w:rsidRDefault="002A7977" w:rsidP="002A7977">
      <w:pPr>
        <w:pStyle w:val="a3"/>
        <w:ind w:left="0" w:firstLine="72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4.3. Направляя документы на Поощрение, претенденты соглашаются с условиями настоящего положения.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>5. Критерии оценки.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являются: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значимость достижений кандидата для развития библиотечного дела,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дополнительного образования детей.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инновационных методов в работе кандидатов  Поощрения в библиотечном деле,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дополнительном образовании детей;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профессиональный и личный авторитет претендента среди населения, общественное признание его заслуг.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Порядок Поощрения.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Поощрение лучших работников отрасли культуры муниципального района  будет приурочено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работника культуры.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Поощрение проводится в торжественной обстановке главой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2A7977" w:rsidRDefault="002A7977" w:rsidP="002A797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Лучшие работники</w:t>
      </w:r>
      <w:r w:rsidRPr="004C7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отрасли 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награждаются дипломом, букетом цветов и памятным подарком.</w:t>
      </w:r>
    </w:p>
    <w:p w:rsidR="002A7977" w:rsidRDefault="002A7977" w:rsidP="002A7977">
      <w:pPr>
        <w:spacing w:line="240" w:lineRule="exact"/>
        <w:ind w:left="4956" w:firstLine="708"/>
        <w:rPr>
          <w:sz w:val="28"/>
          <w:szCs w:val="28"/>
        </w:rPr>
      </w:pPr>
    </w:p>
    <w:p w:rsidR="002A7977" w:rsidRDefault="002A7977" w:rsidP="002A7977">
      <w:pPr>
        <w:spacing w:line="360" w:lineRule="exact"/>
        <w:ind w:left="4956" w:firstLine="434"/>
        <w:rPr>
          <w:sz w:val="28"/>
          <w:szCs w:val="28"/>
        </w:rPr>
      </w:pPr>
    </w:p>
    <w:p w:rsidR="002A7977" w:rsidRPr="009F19E6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ind w:left="3540" w:firstLine="708"/>
        <w:jc w:val="both"/>
      </w:pPr>
    </w:p>
    <w:p w:rsidR="002A7977" w:rsidRPr="009F19E6" w:rsidRDefault="002A7977" w:rsidP="002A7977">
      <w:pPr>
        <w:ind w:left="3540" w:firstLine="708"/>
        <w:jc w:val="both"/>
      </w:pPr>
    </w:p>
    <w:p w:rsidR="002A7977" w:rsidRPr="009F19E6" w:rsidRDefault="002A7977" w:rsidP="002A7977">
      <w:pPr>
        <w:ind w:left="3540" w:firstLine="708"/>
        <w:jc w:val="both"/>
      </w:pPr>
    </w:p>
    <w:p w:rsidR="002A7977" w:rsidRPr="00505126" w:rsidRDefault="002A7977" w:rsidP="002A7977">
      <w:pPr>
        <w:ind w:left="3540" w:firstLine="708"/>
        <w:jc w:val="both"/>
        <w:rPr>
          <w:color w:val="000000"/>
          <w:sz w:val="28"/>
          <w:szCs w:val="28"/>
        </w:rPr>
      </w:pPr>
      <w:r w:rsidRPr="00DA7FAC">
        <w:t>Приложение №</w:t>
      </w:r>
      <w:r>
        <w:t>3</w:t>
      </w:r>
    </w:p>
    <w:p w:rsidR="002A7977" w:rsidRDefault="002A7977" w:rsidP="002A7977">
      <w:pPr>
        <w:ind w:left="3540" w:firstLine="708"/>
        <w:jc w:val="both"/>
      </w:pPr>
      <w:r>
        <w:t xml:space="preserve"> к</w:t>
      </w:r>
      <w:r w:rsidRPr="00DA7FAC">
        <w:t xml:space="preserve"> постановлению главы администрации</w:t>
      </w:r>
    </w:p>
    <w:p w:rsidR="002A7977" w:rsidRPr="00DA7FAC" w:rsidRDefault="002A7977" w:rsidP="002A7977">
      <w:pPr>
        <w:ind w:left="3540" w:firstLine="708"/>
        <w:jc w:val="both"/>
      </w:pPr>
      <w:r w:rsidRPr="00DA7FAC">
        <w:t xml:space="preserve"> МР Шаранский район РБ</w:t>
      </w:r>
    </w:p>
    <w:p w:rsidR="005F069B" w:rsidRPr="005F069B" w:rsidRDefault="002A7977" w:rsidP="005F069B">
      <w:pPr>
        <w:ind w:left="3540" w:firstLine="708"/>
        <w:jc w:val="both"/>
      </w:pPr>
      <w:r>
        <w:t xml:space="preserve"> </w:t>
      </w:r>
      <w:r w:rsidR="005F069B">
        <w:t>№ П-524/5 от 01.06.2015г.</w:t>
      </w:r>
    </w:p>
    <w:p w:rsidR="002A7977" w:rsidRDefault="002A7977" w:rsidP="002A7977">
      <w:pPr>
        <w:ind w:left="3540" w:firstLine="708"/>
        <w:jc w:val="both"/>
      </w:pPr>
    </w:p>
    <w:p w:rsidR="002A7977" w:rsidRDefault="002A7977" w:rsidP="002A7977">
      <w:pPr>
        <w:spacing w:line="240" w:lineRule="exact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_</w:t>
      </w:r>
      <w:r w:rsidRPr="0018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поощрение лучших работников отрасли 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</w:t>
      </w: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tbl>
      <w:tblPr>
        <w:tblW w:w="9781" w:type="dxa"/>
        <w:tblInd w:w="-459" w:type="dxa"/>
        <w:tblLook w:val="04A0"/>
      </w:tblPr>
      <w:tblGrid>
        <w:gridCol w:w="4678"/>
        <w:gridCol w:w="5103"/>
      </w:tblGrid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Газизова Ильвера Лябибовна</w:t>
            </w:r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- заместитель главы администрации по работе с кадрами и социальным вопросам</w:t>
            </w:r>
          </w:p>
        </w:tc>
      </w:tr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 xml:space="preserve">Габдуллин Артур </w:t>
            </w:r>
            <w:proofErr w:type="spellStart"/>
            <w:r w:rsidRPr="002E2B4A">
              <w:rPr>
                <w:sz w:val="28"/>
                <w:szCs w:val="28"/>
              </w:rPr>
              <w:t>Илдарович</w:t>
            </w:r>
            <w:proofErr w:type="spellEnd"/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 xml:space="preserve">Начальник МКУ «Отдел культуры и молодежной политики» администрации </w:t>
            </w:r>
          </w:p>
        </w:tc>
      </w:tr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2E2B4A">
              <w:rPr>
                <w:sz w:val="28"/>
                <w:szCs w:val="28"/>
              </w:rPr>
              <w:t>Шарафутдинова</w:t>
            </w:r>
            <w:proofErr w:type="spellEnd"/>
            <w:r w:rsidRPr="002E2B4A">
              <w:rPr>
                <w:sz w:val="28"/>
                <w:szCs w:val="28"/>
              </w:rPr>
              <w:t xml:space="preserve"> Гульфия </w:t>
            </w:r>
            <w:proofErr w:type="spellStart"/>
            <w:r w:rsidRPr="002E2B4A">
              <w:rPr>
                <w:sz w:val="28"/>
                <w:szCs w:val="28"/>
              </w:rPr>
              <w:t>Тазиевна</w:t>
            </w:r>
            <w:proofErr w:type="spellEnd"/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Директор МАОУ ДОД «Детская школа искусств»</w:t>
            </w:r>
          </w:p>
        </w:tc>
      </w:tr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Мишина Наталья Юрьевна</w:t>
            </w:r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Директор МБУ «</w:t>
            </w:r>
            <w:proofErr w:type="spellStart"/>
            <w:r w:rsidRPr="002E2B4A">
              <w:rPr>
                <w:sz w:val="28"/>
                <w:szCs w:val="28"/>
              </w:rPr>
              <w:t>Межпоселенческая</w:t>
            </w:r>
            <w:proofErr w:type="spellEnd"/>
            <w:r w:rsidRPr="002E2B4A">
              <w:rPr>
                <w:sz w:val="28"/>
                <w:szCs w:val="28"/>
              </w:rPr>
              <w:t xml:space="preserve"> центральная библиотека»</w:t>
            </w:r>
          </w:p>
        </w:tc>
      </w:tr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2E2B4A">
              <w:rPr>
                <w:sz w:val="28"/>
                <w:szCs w:val="28"/>
              </w:rPr>
              <w:t>Саляхов</w:t>
            </w:r>
            <w:proofErr w:type="spellEnd"/>
            <w:r w:rsidRPr="002E2B4A">
              <w:rPr>
                <w:sz w:val="28"/>
                <w:szCs w:val="28"/>
              </w:rPr>
              <w:t xml:space="preserve"> </w:t>
            </w:r>
            <w:proofErr w:type="spellStart"/>
            <w:r w:rsidRPr="002E2B4A">
              <w:rPr>
                <w:sz w:val="28"/>
                <w:szCs w:val="28"/>
              </w:rPr>
              <w:t>Забир</w:t>
            </w:r>
            <w:proofErr w:type="spellEnd"/>
            <w:r w:rsidRPr="002E2B4A">
              <w:rPr>
                <w:sz w:val="28"/>
                <w:szCs w:val="28"/>
              </w:rPr>
              <w:t xml:space="preserve"> </w:t>
            </w:r>
            <w:proofErr w:type="spellStart"/>
            <w:r w:rsidRPr="002E2B4A">
              <w:rPr>
                <w:sz w:val="28"/>
                <w:szCs w:val="28"/>
              </w:rPr>
              <w:t>Зиязетдинович</w:t>
            </w:r>
            <w:proofErr w:type="spellEnd"/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Директор МБУ «Центральный районный дом культуры»</w:t>
            </w:r>
          </w:p>
        </w:tc>
      </w:tr>
      <w:tr w:rsidR="002A7977" w:rsidRPr="002E2B4A" w:rsidTr="00880F68">
        <w:tc>
          <w:tcPr>
            <w:tcW w:w="4678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>Яковлев Леонид Васильевич</w:t>
            </w:r>
          </w:p>
        </w:tc>
        <w:tc>
          <w:tcPr>
            <w:tcW w:w="5103" w:type="dxa"/>
          </w:tcPr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 xml:space="preserve">Начальнику отдела филиала ГКУ «Республиканский центр социальной поддержки населения» </w:t>
            </w:r>
          </w:p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 xml:space="preserve">по </w:t>
            </w:r>
            <w:proofErr w:type="spellStart"/>
            <w:r w:rsidRPr="002E2B4A">
              <w:rPr>
                <w:sz w:val="28"/>
                <w:szCs w:val="28"/>
              </w:rPr>
              <w:t>Туймазинскому</w:t>
            </w:r>
            <w:proofErr w:type="spellEnd"/>
            <w:r w:rsidRPr="002E2B4A">
              <w:rPr>
                <w:sz w:val="28"/>
                <w:szCs w:val="28"/>
              </w:rPr>
              <w:t xml:space="preserve"> району и г</w:t>
            </w:r>
            <w:proofErr w:type="gramStart"/>
            <w:r w:rsidRPr="002E2B4A">
              <w:rPr>
                <w:sz w:val="28"/>
                <w:szCs w:val="28"/>
              </w:rPr>
              <w:t>.Т</w:t>
            </w:r>
            <w:proofErr w:type="gramEnd"/>
            <w:r w:rsidRPr="002E2B4A">
              <w:rPr>
                <w:sz w:val="28"/>
                <w:szCs w:val="28"/>
              </w:rPr>
              <w:t xml:space="preserve">уймазы </w:t>
            </w:r>
          </w:p>
          <w:p w:rsidR="002A7977" w:rsidRPr="002E2B4A" w:rsidRDefault="002A7977" w:rsidP="00880F68">
            <w:pPr>
              <w:pStyle w:val="a4"/>
              <w:jc w:val="both"/>
              <w:rPr>
                <w:sz w:val="28"/>
                <w:szCs w:val="28"/>
              </w:rPr>
            </w:pPr>
            <w:r w:rsidRPr="002E2B4A">
              <w:rPr>
                <w:sz w:val="28"/>
                <w:szCs w:val="28"/>
              </w:rPr>
              <w:t xml:space="preserve">в </w:t>
            </w:r>
            <w:proofErr w:type="spellStart"/>
            <w:r w:rsidRPr="002E2B4A">
              <w:rPr>
                <w:sz w:val="28"/>
                <w:szCs w:val="28"/>
              </w:rPr>
              <w:t>Шаранском</w:t>
            </w:r>
            <w:proofErr w:type="spellEnd"/>
            <w:r w:rsidRPr="002E2B4A">
              <w:rPr>
                <w:sz w:val="28"/>
                <w:szCs w:val="28"/>
              </w:rPr>
              <w:t xml:space="preserve"> районе</w:t>
            </w:r>
          </w:p>
        </w:tc>
      </w:tr>
    </w:tbl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Default="002A7977" w:rsidP="002A7977">
      <w:pPr>
        <w:spacing w:line="240" w:lineRule="exact"/>
        <w:jc w:val="center"/>
        <w:rPr>
          <w:sz w:val="28"/>
          <w:szCs w:val="28"/>
        </w:rPr>
      </w:pPr>
    </w:p>
    <w:p w:rsidR="002A7977" w:rsidRPr="00554452" w:rsidRDefault="002A7977" w:rsidP="002A7977">
      <w:pPr>
        <w:jc w:val="both"/>
        <w:rPr>
          <w:sz w:val="28"/>
          <w:szCs w:val="28"/>
        </w:rPr>
      </w:pPr>
    </w:p>
    <w:p w:rsidR="00C631D6" w:rsidRDefault="00C631D6"/>
    <w:sectPr w:rsidR="00C631D6" w:rsidSect="00DF2751">
      <w:headerReference w:type="default" r:id="rId7"/>
      <w:headerReference w:type="first" r:id="rId8"/>
      <w:pgSz w:w="11906" w:h="16838" w:code="9"/>
      <w:pgMar w:top="851" w:right="991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4E" w:rsidRDefault="00B21D4E" w:rsidP="00C865CC">
      <w:r>
        <w:separator/>
      </w:r>
    </w:p>
  </w:endnote>
  <w:endnote w:type="continuationSeparator" w:id="0">
    <w:p w:rsidR="00B21D4E" w:rsidRDefault="00B21D4E" w:rsidP="00C8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4E" w:rsidRDefault="00B21D4E" w:rsidP="00C865CC">
      <w:r>
        <w:separator/>
      </w:r>
    </w:p>
  </w:footnote>
  <w:footnote w:type="continuationSeparator" w:id="0">
    <w:p w:rsidR="00B21D4E" w:rsidRDefault="00B21D4E" w:rsidP="00C86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0" w:rsidRDefault="00B21D4E" w:rsidP="00471A2B">
    <w:pPr>
      <w:pStyle w:val="Style8"/>
      <w:widowControl/>
      <w:spacing w:line="240" w:lineRule="auto"/>
      <w:ind w:left="4730" w:right="-799" w:firstLine="63"/>
      <w:rPr>
        <w:rStyle w:val="FontStyle7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90" w:rsidRDefault="00B21D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AF4"/>
    <w:multiLevelType w:val="hybridMultilevel"/>
    <w:tmpl w:val="25A6C5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77"/>
    <w:rsid w:val="002A7977"/>
    <w:rsid w:val="005F069B"/>
    <w:rsid w:val="00B21D4E"/>
    <w:rsid w:val="00C631D6"/>
    <w:rsid w:val="00C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A7977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77">
    <w:name w:val="Font Style77"/>
    <w:basedOn w:val="a0"/>
    <w:uiPriority w:val="99"/>
    <w:rsid w:val="002A797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A7977"/>
    <w:pPr>
      <w:ind w:left="720"/>
      <w:contextualSpacing/>
    </w:pPr>
  </w:style>
  <w:style w:type="paragraph" w:styleId="a4">
    <w:name w:val="No Spacing"/>
    <w:uiPriority w:val="1"/>
    <w:qFormat/>
    <w:rsid w:val="002A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5376</Characters>
  <Application>Microsoft Office Word</Application>
  <DocSecurity>0</DocSecurity>
  <Lines>44</Lines>
  <Paragraphs>12</Paragraphs>
  <ScaleCrop>false</ScaleCrop>
  <Company>HOME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2015-06-03T04:33:00Z</dcterms:created>
  <dcterms:modified xsi:type="dcterms:W3CDTF">2015-06-03T04:50:00Z</dcterms:modified>
</cp:coreProperties>
</file>